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1617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16176" w:rsidRDefault="00DC5867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16176" w:rsidRDefault="00DC5867">
            <w:pPr>
              <w:spacing w:after="0" w:line="240" w:lineRule="auto"/>
            </w:pPr>
            <w:r>
              <w:t>36887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16176" w:rsidRDefault="00DC586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16176" w:rsidRDefault="00DC5867">
            <w:pPr>
              <w:spacing w:after="0" w:line="240" w:lineRule="auto"/>
            </w:pPr>
            <w:r>
              <w:t>OPĆINA STRIZIVOJNA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16176" w:rsidRDefault="00DC586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16176" w:rsidRDefault="00DC5867">
            <w:pPr>
              <w:spacing w:after="0" w:line="240" w:lineRule="auto"/>
            </w:pPr>
            <w:r>
              <w:t>22</w:t>
            </w:r>
          </w:p>
        </w:tc>
      </w:tr>
    </w:tbl>
    <w:p w:rsidR="00A16176" w:rsidRDefault="00DC5867">
      <w:r>
        <w:br/>
      </w:r>
    </w:p>
    <w:p w:rsidR="00A16176" w:rsidRDefault="00DC586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16176" w:rsidRDefault="00DC586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16176" w:rsidRDefault="00DC5867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450.924,72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532.804,53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227.257,16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420.540,58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185,1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A161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223.667,56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112.263,95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50,2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380.130,67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208.620,21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54,9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A161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380.130,67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208.620,21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54,9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76.835,87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582.746,80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758,4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399.250,07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A161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76.835,87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183.496,73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238,8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A161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87.140,47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U razdoblju od 01.01.26.-31.03.26.  prihodi poslovanja ostvareni su u iznosu od 532.804,53 €. Najznačajnije povećanje prihoda poslovanja ostvareno je od prihoda od poreza, prihoda od pomoći iz inozemstva i od subjekata unutar općeg proračuna. Općina je u o</w:t>
      </w:r>
      <w:r>
        <w:t xml:space="preserve">vom razdoblju ostvarila tekuću pomoć iz državnog proračuna za fiskalnu održivost </w:t>
      </w:r>
      <w:proofErr w:type="spellStart"/>
      <w:r>
        <w:t>dj</w:t>
      </w:r>
      <w:proofErr w:type="spellEnd"/>
      <w:r>
        <w:t xml:space="preserve">. vrtića, tekuće pomoći iz općinskih </w:t>
      </w:r>
      <w:proofErr w:type="spellStart"/>
      <w:r>
        <w:t>proračuna,kapitalnu</w:t>
      </w:r>
      <w:proofErr w:type="spellEnd"/>
      <w:r>
        <w:t xml:space="preserve"> pomoć iz državnog proračuna za izgradnju </w:t>
      </w:r>
      <w:proofErr w:type="spellStart"/>
      <w:r>
        <w:t>dj</w:t>
      </w:r>
      <w:proofErr w:type="spellEnd"/>
      <w:r>
        <w:t xml:space="preserve">. igrališta u sklopu </w:t>
      </w:r>
      <w:proofErr w:type="spellStart"/>
      <w:r>
        <w:t>dj</w:t>
      </w:r>
      <w:proofErr w:type="spellEnd"/>
      <w:r>
        <w:t xml:space="preserve">. </w:t>
      </w:r>
      <w:proofErr w:type="spellStart"/>
      <w:r>
        <w:t>vrtića,pomoći</w:t>
      </w:r>
      <w:proofErr w:type="spellEnd"/>
      <w:r>
        <w:t xml:space="preserve"> fiskalnog </w:t>
      </w:r>
      <w:proofErr w:type="spellStart"/>
      <w:r>
        <w:t>izravnanja,te</w:t>
      </w:r>
      <w:proofErr w:type="spellEnd"/>
      <w:r>
        <w:t xml:space="preserve"> tekuće pom</w:t>
      </w:r>
      <w:r>
        <w:t xml:space="preserve">oći iz državnog proračuna temeljem prijenosa EU sredstva za projekt Zaželi. Rashodi poslovanja u ovom periodu </w:t>
      </w:r>
      <w:r>
        <w:lastRenderedPageBreak/>
        <w:t>ostvareni su u iznosu od 420.540,58 €.  Kod rashoda poslovanja najznačajnije  povećanje je  kod prijenosa proračunskim korisnicima iz nadležnog pr</w:t>
      </w:r>
      <w:r>
        <w:t>oračuna za financiranje redovne djelatnosti zbog otvaranja područnog objekta s dvije nove skupine 15.09.24. i tri nove skupine  01.09.2025. godine te je shodno tome došlo do povećanja plaća i materijalnih troškova. Također u ovom periodu općina je imala ve</w:t>
      </w:r>
      <w:r>
        <w:t>će kapitalne donacije-župi Sv. Martina biskupa za izgradnju novog župnog dvora i kapitalne donacije za kupnju prve nekretnine. Općina u ovom periodu nije ostvarila prihode od prodaje nefinancijske imovine dok su rashodi za nabavu nefinancijske imovine ostv</w:t>
      </w:r>
      <w:r>
        <w:t xml:space="preserve">areni u iznosu od 208.620,21. €. Navedeni rashodi odnose se na izgradnju javne </w:t>
      </w:r>
      <w:proofErr w:type="spellStart"/>
      <w:r>
        <w:t>rasvjete,izgradnju</w:t>
      </w:r>
      <w:proofErr w:type="spellEnd"/>
      <w:r>
        <w:t xml:space="preserve"> </w:t>
      </w:r>
      <w:proofErr w:type="spellStart"/>
      <w:r>
        <w:t>dj</w:t>
      </w:r>
      <w:proofErr w:type="spellEnd"/>
      <w:r>
        <w:t xml:space="preserve">. igrališta u sklopu vrtića, izgradnju solarnih autobusnih stanica, kupnju računala, mobitela, oprema za </w:t>
      </w:r>
      <w:proofErr w:type="spellStart"/>
      <w:r>
        <w:t>dj</w:t>
      </w:r>
      <w:proofErr w:type="spellEnd"/>
      <w:r>
        <w:t>. igralište u naselju, raznu projektnu dokumentac</w:t>
      </w:r>
      <w:r>
        <w:t>iju, te energetsku obnovu zgradu općine. Primici od financijske imovine i zaduživanja iznose 582.746,80, a odnose se na povrat studenskih kredita i evidentiranje dozvoljenog prekoračenja kod HPB-a. Izdaci za financijsku imovinu i otplate zajmova iznose 399</w:t>
      </w:r>
      <w:r>
        <w:t>.250,07 a odnose se na otplatu glavnice HBOR-u i otplatu glavnice po dozvoljenom prekoračenju.  U razdoblju od 01.01.2026.-31.03.2026. ostvaren je višak prihoda poslovanja - 112.263,95 €, manjak prihoda od nefinancijske imovine -208.620,21 € te višak od fi</w:t>
      </w:r>
      <w:r>
        <w:t>nancijske imovine i zaduživanja -183.496,73 €, te je shodno tome ostvaren višak prihoda i primitaka u iznosu od 87.140,47 €.  Manjak prihoda i primitaka za pokriće u slijedećem razdoblju iznosi 223.608,86 €.</w:t>
      </w:r>
    </w:p>
    <w:p w:rsidR="00A16176" w:rsidRDefault="00DC5867">
      <w:r>
        <w:br/>
      </w:r>
    </w:p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</w:t>
            </w:r>
            <w:r>
              <w:rPr>
                <w:b/>
                <w:sz w:val="18"/>
              </w:rPr>
              <w:t>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155.662,36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180.201,81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Prihodi od poreza na dohodak od nesamostalnog rada bilježe povećanje za 15,80 % u odnosu na prethodno razdoblje zbog rasta plaća i broja zaposlenih na području općine.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U prethodnom izvještajnom razdoblju nije bilo poreza na nekretnine. 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5.618,32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163,3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Veća uplata poreza na promet nekretnina u odnosu na prethodno razdoblje.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</w:t>
            </w:r>
            <w:r>
              <w:rPr>
                <w:sz w:val="18"/>
              </w:rPr>
              <w:t>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43.740,00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129.295,22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295,6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Veća uplata pomoći iz općinskih proračuna u odnosu na prethodno razdoblje.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56.173,32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64.825,74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Odnosi se na uplatu tekuće pomoći temeljem prijenosa EU sredstava za projekt Zaželi.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5330,9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Veća uplata  kamate za depozite po viđenju.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195,1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lastRenderedPageBreak/>
        <w:t xml:space="preserve">Veća uplata zakupa </w:t>
      </w:r>
      <w:proofErr w:type="spellStart"/>
      <w:r>
        <w:t>poljop</w:t>
      </w:r>
      <w:proofErr w:type="spellEnd"/>
      <w:r>
        <w:t xml:space="preserve">. </w:t>
      </w:r>
      <w:proofErr w:type="spellStart"/>
      <w:r>
        <w:t>zem</w:t>
      </w:r>
      <w:proofErr w:type="spellEnd"/>
      <w:r>
        <w:t xml:space="preserve">. u </w:t>
      </w:r>
      <w:proofErr w:type="spellStart"/>
      <w:r>
        <w:t>vl</w:t>
      </w:r>
      <w:proofErr w:type="spellEnd"/>
      <w:r>
        <w:t>. države.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Doprinosi </w:t>
            </w:r>
            <w:r>
              <w:rPr>
                <w:sz w:val="18"/>
              </w:rPr>
              <w:t>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5.104,68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25,8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Manja uplata obračuna šumskog doprinosa.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</w:t>
            </w:r>
            <w:r>
              <w:rPr>
                <w:sz w:val="18"/>
              </w:rPr>
              <w:t xml:space="preserve">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266,8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Odnosi se na uplatu  Hrvatskih voda za naplaćeni NUV-10%.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71.256,27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74.597,32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104,7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 xml:space="preserve">Odnosi si se na  plaće </w:t>
      </w:r>
      <w:proofErr w:type="spellStart"/>
      <w:r>
        <w:t>načelnika,JUO</w:t>
      </w:r>
      <w:proofErr w:type="spellEnd"/>
      <w:r>
        <w:t xml:space="preserve"> i zaposlenih u projektu Zaželi.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4.099,47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1130,9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Veće odstupanje zbog većeg ulaganja u održavanje građevinskih objekata u tekućoj godini.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18.401,05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23.839,16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129,6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Blaže odstupanje zbog većeg ulaganja u održavanje javnih površina.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Intelektualne i </w:t>
            </w:r>
            <w:r>
              <w:rPr>
                <w:sz w:val="18"/>
              </w:rPr>
              <w:t>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23.601,92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33.696,69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142,8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 xml:space="preserve">Veće odstupanje zbog većeg ulaganja u intelektualne usluge (usluge provedbe </w:t>
      </w:r>
      <w:proofErr w:type="spellStart"/>
      <w:r>
        <w:t>projekata,prijava</w:t>
      </w:r>
      <w:proofErr w:type="spellEnd"/>
      <w:r>
        <w:t xml:space="preserve"> </w:t>
      </w:r>
      <w:proofErr w:type="spellStart"/>
      <w:r>
        <w:t>projekata,procijena</w:t>
      </w:r>
      <w:proofErr w:type="spellEnd"/>
      <w:r>
        <w:t xml:space="preserve"> vrijednosti nekretnina i dr.).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4.166,75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180,2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Povećane računalne usluge zbog uspostave nove računovodstvene baze za ulazak proračunskog korisnika u sustav riznice.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Odnosi se na uplatu kamate HBOR-u za kredit.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345,2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Odnosi se na uplate kamate za dozvoljeno prekoračenje po žiro računu HPB.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Bankarske </w:t>
            </w:r>
            <w:r>
              <w:rPr>
                <w:sz w:val="18"/>
              </w:rPr>
              <w:t>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519,51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184,4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Povećane bankarske naknade.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164,6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 xml:space="preserve">Odnosi se na uplatu Općini </w:t>
      </w:r>
      <w:proofErr w:type="spellStart"/>
      <w:r>
        <w:t>Viškovci</w:t>
      </w:r>
      <w:proofErr w:type="spellEnd"/>
      <w:r>
        <w:t xml:space="preserve"> za sufinanciranje komunalnog redara.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4.476,25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U ovom periodu općina nije davala sredstva OŠ.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58.211,59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177.311,79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304,6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lastRenderedPageBreak/>
        <w:t>Znatnije povećanje zbog otvaranja područnog objekta s dvije nove skupine u 2024 godini i tri nove skupine 01.09.2025. godine te je shodno tome došlo do povećanja plaća i materijalnih troškova pa su i prijenosi veći.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287,4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 xml:space="preserve">Veće uplate </w:t>
      </w:r>
      <w:proofErr w:type="spellStart"/>
      <w:r>
        <w:t>porodiljnih</w:t>
      </w:r>
      <w:proofErr w:type="spellEnd"/>
      <w:r>
        <w:t xml:space="preserve"> naknada u tekućoj godini.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Uvedeno sufinanciranje cijene prijevoza učenika čega u prethodnom izvještajnom razdoblju nije bilo.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20.574,16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685,8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 xml:space="preserve">Veći prijenos sredstava za NK </w:t>
      </w:r>
      <w:proofErr w:type="spellStart"/>
      <w:r>
        <w:t>Šokadiju</w:t>
      </w:r>
      <w:proofErr w:type="spellEnd"/>
      <w:r>
        <w:t xml:space="preserve"> u odnosu na prethodno razdoblje.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Prijenos sredstva župi Sv. Martina biskupa za izgradnju novog župnog doma.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260,0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Odnosi se na kapitalne donacije kućanstvu za kupnju prve nekretnine.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Komunikacijska </w:t>
            </w:r>
            <w:r>
              <w:rPr>
                <w:sz w:val="18"/>
              </w:rPr>
              <w:t>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Odnosi se na kupnju mobitela.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</w:t>
            </w:r>
            <w:r>
              <w:rPr>
                <w:sz w:val="18"/>
              </w:rPr>
              <w:t xml:space="preserve">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59.077,10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3210,4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 xml:space="preserve">Odnosi si se na opremu za </w:t>
      </w:r>
      <w:proofErr w:type="spellStart"/>
      <w:r>
        <w:t>dječije</w:t>
      </w:r>
      <w:proofErr w:type="spellEnd"/>
      <w:r>
        <w:t xml:space="preserve"> igralište u naselju </w:t>
      </w:r>
      <w:proofErr w:type="spellStart"/>
      <w:r>
        <w:t>Strizivojna</w:t>
      </w:r>
      <w:proofErr w:type="spellEnd"/>
      <w:r>
        <w:t>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6.289,38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93.868,88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1492,5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Odnosi se na energetsku obnovu zgrade općine.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582.641,29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lastRenderedPageBreak/>
        <w:t>Odnosi se na dozvoljeno prekoračenje po transakcijskom računu od HPB.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9.508,23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Otplata glavnice HBOR-u (4. rata).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Otplata glavnice primljenih kredita </w:t>
            </w:r>
            <w:r>
              <w:rPr>
                <w:sz w:val="18"/>
              </w:rPr>
              <w:t>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389.741,84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Otplata glavnice po dozvoljenom prekoračenju -HPB d.d.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A161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na kraju </w:t>
            </w:r>
            <w:r>
              <w:rPr>
                <w:sz w:val="18"/>
              </w:rPr>
              <w:t>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819.012,73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U odnosu na početak godine obveze su povećane za 95.369,53 €.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A161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6.807,50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Stanje dospjelih obveza na kraju izvještajnog razdoblja iznose 6.807,50 €.  Najvećim djelom- 4.710,00 € odnosi se na neutvrđene odnose iz prijašnjih godina. Općina će u 2026 učiniti otpis obveza kada utvrdi stvarno stanje.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A161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d) Prekoračenje preko 360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D232D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Odnosi se na neutvrđene odnose iz prijašnjih godina .Općina će u 2026 učiniti otpis obveza kada utvrdi stvarno stanje.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A161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d) Prekoračenje preko 360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D24D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4.074,59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Odnosi se na neutvrđene odnose iz prijašnjih godina .Općina će u 2026 učiniti otpis obveza kada utvrdi stvarno stanje.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A161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812.205,23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Općina ima gotovo sve nedospjele obveze, a najvećim djelom se odnose na obveze za otplatu glavnice kredita HBOR-u i HPB d.d.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50.562,27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>Najvećim djelom se odnose na obveze za zaposlene -plaća 03/2026.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595.032,69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lastRenderedPageBreak/>
        <w:t>Odnose na obveze za otplatu glavnice kredita HBOR-u i HPB d.d.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161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617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</w:t>
            </w:r>
            <w:r>
              <w:rPr>
                <w:sz w:val="18"/>
              </w:rPr>
              <w:t>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165.313,65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6176" w:rsidRDefault="00DC58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6176" w:rsidRDefault="00A16176">
      <w:pPr>
        <w:spacing w:after="0"/>
      </w:pPr>
    </w:p>
    <w:p w:rsidR="00A16176" w:rsidRDefault="00DC5867">
      <w:r>
        <w:t xml:space="preserve">Odnose se na obveze za naplaćene tuđe prihode Hrvatskim vodama-NUV, obveze za EU predujmove dane iz državnog proračuna -projekt Zaželi, projekt </w:t>
      </w:r>
      <w:proofErr w:type="spellStart"/>
      <w:r>
        <w:t>Engage</w:t>
      </w:r>
      <w:proofErr w:type="spellEnd"/>
      <w:r>
        <w:t xml:space="preserve">, projekt </w:t>
      </w:r>
      <w:proofErr w:type="spellStart"/>
      <w:r>
        <w:t>energ</w:t>
      </w:r>
      <w:proofErr w:type="spellEnd"/>
      <w:r>
        <w:t xml:space="preserve">. obnove zgrade općine, ,obveze za predujam-kom. naknada, 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obvez</w:t>
      </w:r>
      <w:r>
        <w:t>e proračuna za naplaćena sredstva proračunskog korisnika.</w:t>
      </w:r>
    </w:p>
    <w:p w:rsidR="00A16176" w:rsidRDefault="00A16176"/>
    <w:p w:rsidR="00A16176" w:rsidRDefault="00DC5867">
      <w:pPr>
        <w:keepNext/>
        <w:spacing w:line="240" w:lineRule="auto"/>
        <w:jc w:val="center"/>
      </w:pPr>
      <w:r>
        <w:rPr>
          <w:sz w:val="28"/>
        </w:rPr>
        <w:t>Bilješka 41.</w:t>
      </w:r>
    </w:p>
    <w:p w:rsidR="00A16176" w:rsidRDefault="00DC5867">
      <w:pPr>
        <w:spacing w:line="240" w:lineRule="auto"/>
        <w:jc w:val="both"/>
      </w:pPr>
      <w:r>
        <w:rPr>
          <w:b/>
        </w:rPr>
        <w:t>EU izvještaj</w:t>
      </w:r>
    </w:p>
    <w:p w:rsidR="00A16176" w:rsidRDefault="00DC5867">
      <w:r>
        <w:t xml:space="preserve">Općina </w:t>
      </w:r>
      <w:proofErr w:type="spellStart"/>
      <w:r>
        <w:t>Strizivojna</w:t>
      </w:r>
      <w:proofErr w:type="spellEnd"/>
      <w:r>
        <w:t xml:space="preserve"> se financira iz tri fonda. Europski socijalni fond plus  i nacionalno financiranje-projekt Zaželi, Europski fond za regionalni razvoj-prekogranična </w:t>
      </w:r>
      <w:proofErr w:type="spellStart"/>
      <w:r>
        <w:t>sura</w:t>
      </w:r>
      <w:r>
        <w:t>nja</w:t>
      </w:r>
      <w:proofErr w:type="spellEnd"/>
      <w:r>
        <w:t xml:space="preserve"> HR-RS-projekt </w:t>
      </w:r>
      <w:proofErr w:type="spellStart"/>
      <w:r>
        <w:t>Engage</w:t>
      </w:r>
      <w:proofErr w:type="spellEnd"/>
      <w:r>
        <w:t>, Mehanizam za oporavak i otpornost -bespovratna sredstva-energetska obnova zgrade općine. Općina je u ovom periodu ostvarila prihode od pomoći iz državnog proračuna temeljem prijenosa EU sredstava za projekt Zaželi 64.825,74 €. 9.7</w:t>
      </w:r>
      <w:r>
        <w:t>23,87 -nacionalno financiranje i 55.101,85 Europski socijalni fond plus. Obveze za EU predujmove dane iz državnog proračuna prikazane su u izvještaju za sva tri fonda. Također obračun prihoda poslovanja po prometu prikazan je za sva tri fonda. Stanje potra</w:t>
      </w:r>
      <w:r>
        <w:t xml:space="preserve">živanja po pojedinom fondu prikazano je na izvještaju po podnesenim i odobrenim ZNS-ovima. </w:t>
      </w:r>
      <w:proofErr w:type="spellStart"/>
      <w:r>
        <w:t>Izvanbilančno</w:t>
      </w:r>
      <w:proofErr w:type="spellEnd"/>
      <w:r>
        <w:t xml:space="preserve"> su evidentirani Ugovori o dodjeli sredstva po pojedinom Fondu te se po podnesenim ZNS-ovima smanjivala </w:t>
      </w:r>
      <w:proofErr w:type="spellStart"/>
      <w:r>
        <w:t>izvanbilančna</w:t>
      </w:r>
      <w:proofErr w:type="spellEnd"/>
      <w:r>
        <w:t xml:space="preserve"> evidencija po pojedinom Fondu.</w:t>
      </w:r>
    </w:p>
    <w:p w:rsidR="00A16176" w:rsidRDefault="00A16176"/>
    <w:sectPr w:rsidR="00A16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76"/>
    <w:rsid w:val="00A16176"/>
    <w:rsid w:val="00D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074D7-51BA-46FF-8BB3-08B34EBE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5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2026-04-15T09:59:00Z</cp:lastPrinted>
  <dcterms:created xsi:type="dcterms:W3CDTF">2026-04-15T09:59:00Z</dcterms:created>
  <dcterms:modified xsi:type="dcterms:W3CDTF">2026-04-15T09:59:00Z</dcterms:modified>
</cp:coreProperties>
</file>