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77c8974ad481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36887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STRIZIVOJNA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690.647,11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785.538,70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468.402,61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682.145,23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222.244,50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103.393,47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313.946,47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497.289,32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313.946,47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497.289,32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98.147,07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237.242,34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57.508,22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98.073,67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179.734,12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214.161,73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Strizivojna je u izvještajnom razdoblju ostvarila prihode poslovanja u iznosu od 785.538,70. Prihodi poslovanja najvećim se dijelom odnose na prihode od poreza i pomoći iz inozemstva i od subjekata unutar općeg proračuna. Općina je ostvarila kapitalnu pomoć iz državnog proračuna u iznosu od 44.200,00 za izgradnju  tenis terena i kapitalnu pomoć od  županije u iznosu od 15,000,00 za  izgradnju tenis terena. Rashodi poslovanja u iznosu od 682.145,23 najvećim se djelom odnose na rashode za zaposlene-179.478,47 -projekt Zaželi, materijalne rashode 238.792,07,financijske rashode, pomoći dane u inozemstvo i unutar općeg proračuna, naknade građanima i kućanstvima, rashodi za donacije, kazne, naknade šteta i kapitalne pomoći.
Prihode od prodaje nefinancijske imovne općina nije imala. Rashodi za nabavu nefinancijske imovine najvećim se djelom odnose na izgradnju pješačke staze u ulici Braće Radića u Strizivojni, te dobavu i ugradnju sunčanih elektrana. Primici od financijske imovine iznose 237.242,34 a odnose se na kredit HBOR-a i evidentiranje dozvoljenog prekoračenja po žiro računu od HPB . Izdaci od financijske imovine iznose 57.508,22 a odnose se na otplatu glavnice u HBOR-u i otplatu glavnice po dozvoljenom prekoračenju.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43.712,17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Strizivojna ima 43.712,17 dospjelih obveza a najvećim se dijelom odnose na obveze za materijalne rashode i obveze za nabavu nefinancijske imovine. Zbog dinamike naplate prihoda obveze su tolike. Općina u dogovoru s dobavljačima produžuje rok plaćanja.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99ac7365bc46c2" /></Relationships>
</file>