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144d673f45e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36887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STRIZIVOJNA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785.538,70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1.143.260,57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682.145,23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909.276,03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103.393,47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233.984,54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497.289,32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251.091,01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497.289,32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251.091,01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237.242,34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989.358,29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57.508,22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862.001,89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1498,9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179.734,12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127.356,40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110.249,93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01.01.26.-30.06.26.  prihodi poslovanja ostvareni su u iznosu od 1.143.260,57 €. Najznačajnije povećanje prihoda poslovanja ostvareno je od prihoda od poreza, prihoda od pomoći iz inozemstva i od subjekata unutar općeg proračuna. Općina je u ovom razdoblju ostvarila tekuću pomoć iz državnog proračuna za fiskalnu održivost dj. vrtića, tekuće pomoći iz općinskih proračuna, kapitalnu pomoć iz državnog proračuna za izgradnju dj. igrališta u sklopu dj. vrtića i igrališta u naselju, kapitalnu pomoć iz županijskih proračuna za izgradnju sportskih objekata i terena, pomoći fiskalnog izravnanja, tekuće pomoći iz državnog proračuna temeljem prijenosa EU sredstva za projekt Zaželi, te kapitalnu pomoć iz državnog proračuna temeljem prijenosa EU sredstava za program Engage i energetsku obnovu zgrade općine. Rashodi poslovanja u ovom periodu ostvareni su u iznosu od 909.276,03 €.  Kod rashoda poslovanja najznačajnije  povećanje je  kod prijenosa proračunskim korisnicima iz nadležnog proračuna za financiranje redovne djelatnosti zbog otvaranja područnog objekta s dvije nove skupine 15.09.24. i tri nove skupine  01.09.2025. godine te je shodno tome došlo do povećanja plaća i materijalnih troškova. Također u ovom periodu općina je imala veće kapitalne donacije-župi Sv. Martina biskupa za izgradnju novog župnog dvora i kapitalne donacije za kupnju prve nekretnine. Općina u ovom periodu nije ostvarila prihode od prodaje nefinancijske imovine dok su rashodi za nabavu nefinancijske imovine ostvareni u iznosu od 251.091,01 €. Navedeni rashodi odnose se na kupnju nogometnog gola, izgradnju javne rasvjete, izgradnju dj. igrališta u sklopu vrtića, izgradnju solarnih autobusnih stanica, kupnju računala, mobitela, oprema za dj. igralište u naselju, opremu za projekt "Rastemo zajedno kroz pokret,prirodu i stvaralaštvo", višegodišnje nasade-stabla, raznu projektnu dokumentaciju, izradu prostornih i urbanističkih planova, te energetsku obnovu zgradu općine. Primici od financijske imovine i zaduživanja iznose 989.358,29, a odnose se na povrat studenskih kredita i evidentiranje dozvoljenog prekoračenja kod HPB-a. Izdaci za financijsku imovinu i otplate zajmova iznose 862.001,89 a odnose se na otplatu glavnice HBOR-u i otplatu glavnice po dozvoljenom prekoračenju.  U razdoblju od 01.01.2026.-30.06.2026. ostvaren je višak prihoda poslovanja - 233.984,54 €, manjak prihoda od nefinancijske imovine -251.091,01 € te višak od financijske imovine i zaduživanja -127.356,40 €, te je shodno tome ostvaren višak prihoda i primitaka u iznosu od 110.249,93 €.  Manjak prihoda i primitaka za pokriće u slijedećem razdoblju iznosi 200.499,40 €.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214.782,54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379.661,80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176,8</w:t>
            </w:r>
          </w:p>
        </w:tc>
      </w:tr>
    </w:tbl>
    <w:p>
      <w:pPr>
        <w:spacing w:before="0" w:after="0"/>
      </w:pPr>
    </w:p>
    <w:p>
      <w:r>
        <w:t xml:space="preserve">Prihodi od poreza na dohodak od nesamostalnog rada bilježe povećanje za 76,80 % u odnosu na prethodno razdoblje zbog rasta plaća i broja zaposlenih na području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prethodnom izvještajnom razdoblju nije bilo poreza na nekretnine.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7.537,87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5.682,98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75,4</w:t>
            </w:r>
          </w:p>
        </w:tc>
      </w:tr>
    </w:tbl>
    <w:p>
      <w:pPr>
        <w:spacing w:before="0" w:after="0"/>
      </w:pPr>
    </w:p>
    <w:p>
      <w:r>
        <w:t xml:space="preserve">Odnosi se na uplate poreza na promet nekretnina koje su manje 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88.913,28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226.553,85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254,8</w:t>
            </w:r>
          </w:p>
        </w:tc>
      </w:tr>
    </w:tbl>
    <w:p>
      <w:pPr>
        <w:spacing w:before="0" w:after="0"/>
      </w:pPr>
    </w:p>
    <w:p>
      <w:r>
        <w:t xml:space="preserve">Veća uplata pomoći iz općinskih proračuna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od izvanproračunskih korisnika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Odnosi se na uplatu HZZ-a za javne radove u prethodnoj godini, u izvještajnom razdoblju tekuće godine općina nije imala javne radove.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118.114,92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133.138,32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112,7</w:t>
            </w:r>
          </w:p>
        </w:tc>
      </w:tr>
    </w:tbl>
    <w:p>
      <w:pPr>
        <w:spacing w:before="0" w:after="0"/>
      </w:pPr>
    </w:p>
    <w:p>
      <w:r>
        <w:t xml:space="preserve">Odnosi se na uplatu tekuće pomoći iz državnog proračuna temeljem prijenosa EU sredstava za projekt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60.747,65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uplatu kapitalne pomoći iz državnog proračuna  pomoći temeljem prijenosa EU sredstava za projekt Engage i za projekt Energetska obnova zgrade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302,26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4361,6</w:t>
            </w:r>
          </w:p>
        </w:tc>
      </w:tr>
    </w:tbl>
    <w:p>
      <w:pPr>
        <w:spacing w:before="0" w:after="0"/>
      </w:pPr>
    </w:p>
    <w:p>
      <w:r>
        <w:t xml:space="preserve">Veća uplata  kamate za depozite po viđenju.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šume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26.109,19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5,0</w:t>
            </w:r>
          </w:p>
        </w:tc>
      </w:tr>
    </w:tbl>
    <w:p>
      <w:pPr>
        <w:spacing w:before="0" w:after="0"/>
      </w:pPr>
    </w:p>
    <w:p>
      <w:r>
        <w:t xml:space="preserve">Manja uplata obračuna šumskog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11.920,24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10,5</w:t>
            </w:r>
          </w:p>
        </w:tc>
      </w:tr>
    </w:tbl>
    <w:p>
      <w:pPr>
        <w:spacing w:before="0" w:after="0"/>
      </w:pPr>
    </w:p>
    <w:p>
      <w:r>
        <w:t xml:space="preserve">Manja uplata komunalne naknade u odnosu na prethodnu godinu.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1.136,70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69,4</w:t>
            </w:r>
          </w:p>
        </w:tc>
      </w:tr>
    </w:tbl>
    <w:p>
      <w:pPr>
        <w:spacing w:before="0" w:after="0"/>
      </w:pPr>
    </w:p>
    <w:p>
      <w:r>
        <w:t xml:space="preserve">Odnosi se na uplatu  Hrvatskih voda za naplaćeni NUV-10%.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146.676,83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146.636,35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100,0</w:t>
            </w:r>
          </w:p>
        </w:tc>
      </w:tr>
    </w:tbl>
    <w:p>
      <w:pPr>
        <w:spacing w:before="0" w:after="0"/>
      </w:pPr>
    </w:p>
    <w:p>
      <w:r>
        <w:t xml:space="preserve">Odnosi si se na  plaće načelnika, JUO i zaposlenih u projektu Zaželi.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28.805,35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7.634,16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26,5</w:t>
            </w:r>
          </w:p>
        </w:tc>
      </w:tr>
    </w:tbl>
    <w:p>
      <w:pPr>
        <w:spacing w:before="0" w:after="0"/>
      </w:pPr>
    </w:p>
    <w:p>
      <w:r>
        <w:t xml:space="preserve">Veće odstupanje zbog manjeg ulaganja u održavanje građevinskih objekata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1.620,40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7.065,10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436,0</w:t>
            </w:r>
          </w:p>
        </w:tc>
      </w:tr>
    </w:tbl>
    <w:p>
      <w:pPr>
        <w:spacing w:before="0" w:after="0"/>
      </w:pPr>
    </w:p>
    <w:p>
      <w:r>
        <w:t xml:space="preserve">Veće usluge promidžbe i informiranja -dan općine, objava tv priloga,objava u lokalnim medijima-energetska obnova zgrade općine-završna konferencija.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69.835,42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85.101,40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121,9</w:t>
            </w:r>
          </w:p>
        </w:tc>
      </w:tr>
    </w:tbl>
    <w:p>
      <w:pPr>
        <w:spacing w:before="0" w:after="0"/>
      </w:pPr>
    </w:p>
    <w:p>
      <w:r>
        <w:t xml:space="preserve">Blaže odstupanje-veća ulaganja u održavanje javnih površina.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2.821,63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3.994,51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141,6</w:t>
            </w:r>
          </w:p>
        </w:tc>
      </w:tr>
    </w:tbl>
    <w:p>
      <w:pPr>
        <w:spacing w:before="0" w:after="0"/>
      </w:pPr>
    </w:p>
    <w:p>
      <w:r>
        <w:t xml:space="preserve">Blaže odstupanje odnosi se na zbrinjavanje napuštenih životinja.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1.903,26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180,5</w:t>
            </w:r>
          </w:p>
        </w:tc>
      </w:tr>
    </w:tbl>
    <w:p>
      <w:pPr>
        <w:spacing w:before="0" w:after="0"/>
      </w:pPr>
    </w:p>
    <w:p>
      <w:r>
        <w:t xml:space="preserve">Odnosi se na uplatu kamate HBOR-u za kredit.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4.014,76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485,6</w:t>
            </w:r>
          </w:p>
        </w:tc>
      </w:tr>
    </w:tbl>
    <w:p>
      <w:pPr>
        <w:spacing w:before="0" w:after="0"/>
      </w:pPr>
    </w:p>
    <w:p>
      <w:r>
        <w:t xml:space="preserve">Odnosi se na uplate kamate za dozvoljeno prekoračenje po žiro računu HPB.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1.286,35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2.229,33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173,3</w:t>
            </w:r>
          </w:p>
        </w:tc>
      </w:tr>
    </w:tbl>
    <w:p>
      <w:pPr>
        <w:spacing w:before="0" w:after="0"/>
      </w:pPr>
    </w:p>
    <w:p>
      <w:r>
        <w:t xml:space="preserve">Povećane bankarske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financijski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1.254,93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prethodnom razdoblju općina je imala naknade za obradu kredita i dozvoljenog prekoračenja po žiro računu.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5.476,25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Nije bilo prijenosa sredstva OŠ I. Brlić Mažuranić u periodu 01.01.26.-30.06.26.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174.767,01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390.976,71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223,7</w:t>
            </w:r>
          </w:p>
        </w:tc>
      </w:tr>
    </w:tbl>
    <w:p>
      <w:pPr>
        <w:spacing w:before="0" w:after="0"/>
      </w:pPr>
    </w:p>
    <w:p>
      <w:r>
        <w:t xml:space="preserve">Znatnije povećanje zbog otvaranja područnog objekta s dvije nove skupine u 2024 godini i tri nove skupine 01.09.2025. godine te je shodno tome došlo do povećanja plaća i materijalnih troškova pa su i prijenosi veći.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8.172,74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166,7</w:t>
            </w:r>
          </w:p>
        </w:tc>
      </w:tr>
    </w:tbl>
    <w:p>
      <w:pPr>
        <w:spacing w:before="0" w:after="0"/>
      </w:pPr>
    </w:p>
    <w:p>
      <w:r>
        <w:t xml:space="preserve">Veća uplata porodiljnih naknada.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5.399,48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860,0</w:t>
            </w:r>
          </w:p>
        </w:tc>
      </w:tr>
    </w:tbl>
    <w:p>
      <w:pPr>
        <w:spacing w:before="0" w:after="0"/>
      </w:pPr>
    </w:p>
    <w:p>
      <w:r>
        <w:t xml:space="preserve">Uvedeno sufinanciranje cijene prijevoza učenika čega u prethodnom izvještajnom razdoblju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neprofitnim organizacijama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Prijenos sredstava župi Sv. Martina biskupa za izgradnju novog župnog doma.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građanima i kućanstvima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260,0</w:t>
            </w:r>
          </w:p>
        </w:tc>
      </w:tr>
    </w:tbl>
    <w:p>
      <w:pPr>
        <w:spacing w:before="0" w:after="0"/>
      </w:pPr>
    </w:p>
    <w:p>
      <w:r>
        <w:t xml:space="preserve">Odnosi se na kapitalne donacije kućanstvu za kupnju prve nekretnine.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361.519,48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46.711,50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12,9</w:t>
            </w:r>
          </w:p>
        </w:tc>
      </w:tr>
    </w:tbl>
    <w:p>
      <w:pPr>
        <w:spacing w:before="0" w:after="0"/>
      </w:pPr>
    </w:p>
    <w:p>
      <w:r>
        <w:t xml:space="preserve">Manje ulaganje u građevinske objekte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kupnju mobitela.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41.575,35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dizalicu topline za energetsku obnovu zgrade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7.845,92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77.789,60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991,5</w:t>
            </w:r>
          </w:p>
        </w:tc>
      </w:tr>
    </w:tbl>
    <w:p>
      <w:pPr>
        <w:spacing w:before="0" w:after="0"/>
      </w:pPr>
    </w:p>
    <w:p>
      <w:r>
        <w:t xml:space="preserve">Odnosi si se na opremu za dječije igralište u naselju Strizivojna i opremu za projekt "Rastemo zajedno kroz pokret,prirodu i stvaralaštvo".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6.289,38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53.918,53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857,3</w:t>
            </w:r>
          </w:p>
        </w:tc>
      </w:tr>
    </w:tbl>
    <w:p>
      <w:pPr>
        <w:spacing w:before="0" w:after="0"/>
      </w:pPr>
    </w:p>
    <w:p>
      <w:r>
        <w:t xml:space="preserve">Odnosi se na energetsku obnovu zgrade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zaduživanja (šifre 841+842+843+844+845+847)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237.031,32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989.147,27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417,3</w:t>
            </w:r>
          </w:p>
        </w:tc>
      </w:tr>
    </w:tbl>
    <w:p>
      <w:pPr>
        <w:spacing w:before="0" w:after="0"/>
      </w:pPr>
    </w:p>
    <w:p>
      <w:r>
        <w:t xml:space="preserve">Odnosi se na dozvoljeno prekoračenje po transakcijskom računu od HPB.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160.300,96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989.147,27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617,1</w:t>
            </w:r>
          </w:p>
        </w:tc>
      </w:tr>
    </w:tbl>
    <w:p>
      <w:pPr>
        <w:spacing w:before="0" w:after="0"/>
      </w:pPr>
    </w:p>
    <w:p>
      <w:r>
        <w:t xml:space="preserve">Odnosi se na dozvoljeno prekoračenje po transakcijskom računu od HPB.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9.508,23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19.016,46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</w:t>
            </w:r>
          </w:p>
        </w:tc>
      </w:tr>
    </w:tbl>
    <w:p>
      <w:pPr>
        <w:spacing w:before="0" w:after="0"/>
      </w:pPr>
    </w:p>
    <w:p>
      <w:r>
        <w:t xml:space="preserve">Otplata glavnice HBOR-u (4. i 5. rata).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842.985,43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1756,2</w:t>
            </w:r>
          </w:p>
        </w:tc>
      </w:tr>
    </w:tbl>
    <w:p>
      <w:pPr>
        <w:spacing w:before="0" w:after="0"/>
      </w:pPr>
    </w:p>
    <w:p>
      <w:r>
        <w:t xml:space="preserve">Otplata glavnice po dozvoljenom prekoračenju -HPB d.d.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739.626,64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odnosu na početak godine obveze su povećane za 15.983,44 €.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iznose 4.810,00 €.  Najvećim djelom- 4.710,00 € odnosi se na neutvrđene odnose iz prijašnjih godina. Općina će u 2026 učiniti otpis obveza kada utvrdi stvarno stanje.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d) Prekoračenje preko 360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D232D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neutvrđene odnose iz prijašnjih godina .Općina će u 2026 učiniti otpis obveza kada utvrdi stvarno stanje.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d) Prekoračenje preko 360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D24D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4.074,59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neutvrđene odnose iz prijašnjih godina .Općina će u 2026 učiniti otpis obveza kada utvrdi stvarno stanje.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734.816,64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ima gotovo sve nedospjele obveze, a najvećim djelom se odnose na obveze za otplatu glavnice kredita HBOR-u i HPB d.d.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37.123,16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Najvećim djelom se odnose na obveze za zaposlene -plaća 06/2026.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538.786,85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na obveze za otplatu glavnice kredita HBOR-u i HPB d.d.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157.718,19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se na obveze za naplaćene tuđe prihode Hrvatskim vodama-NUV, obveze za EU predujmove dane iz državnog proračuna -projekt Zaželi, projekt Engage, projekt energ. obnove zgrade općine, ,obveze za predujam-kom. naknada, obveze za jamčevne pologe i obveze proračuna za naplaćena sredstva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Strizivojna se financira iz tri fonda. Europski socijalni fond plus  i nacionalno financiranje-projekt Zaželi, Europski fond za regionalni razvoj-prekogranična suranja HR-RS-projekt Engage, Mehanizam za oporavak i otpornost -bespovratna sredstva-energetska obnova zgrade općine. Općina je u ovom periodu ostvarila prihode od tekućih  pomoći iz državnog proračuna temeljem prijenosa EU sredstava za projekt Zaželi 133.138,32 €. 19.970,76 -nacionalno financiranje i 113.167,56 Europski socijalni fond plus, te kapitalne pomoći iz državnog proračuna temeljem prijenosa EU sredstava 60.747,65 €.  21.431,60 odnosi se na projekt Engage  iz Europskog fonda za regionalni razvoj, te iz Mehanizma za oporavak i otpornost-bespovratna sredstva za energetsku obnovu zgrade općine 39.316,05 €. Obveze za EU predujmove dane iz državnog proračuna prikazane su u izvještaju za sva tri fonda. Također obračun prihoda poslovanja po prometu prikazan je za sva tri fonda. Stanje potraživanja po pojedinom fondu prikazano je na izvještaju po podnesenim i odobrenim ZNS-ovima. Izvanbilančno su evidentirani Ugovori o dodjeli sredstva po pojedinom Fondu te se po podnesenim ZNS-ovima smanjivala izvanbilančna evidencija po pojedinom Fondu.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ffafcb4b3042c7" /></Relationships>
</file>