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5caaf4031427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36887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STRIZIVOJNA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875.052,72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1.237.835,38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763.727,69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1.013.917,87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111.325,03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223.917,51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201,1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498.009,10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251.091,01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498.009,10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251.091,01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237.242,34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989.358,29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417,0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57.508,22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862.001,89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1498,9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179.734,12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127.356,40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70,9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100.182,90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Konsolidirani financijski izvještaj Općine Strizivojna obuhvaća Općinu Strizivojna i njezinog proračunskog korisnika registriranog u Registru proračunskih i izvanproračunskih korisnika-Dječji vrtić Bajka Strizivojna. Dječji vrtić Bajka započeo je s radom 01. 12. 2020. Za izvještajno razdoblje ostvareni su ukupni prihodi poslovanja 1.237.835,38 što je za 41,50 % više u odnosu na prethodno razdoblje. Razlog tomu povećanju su više ostvareni prihodi od poreza na dohodak, pomoći iz inozemstva i od subjekata unutar općeg proračuna, te povećanje prihoda po posebnim propisima zbog proširenja kapaciteta vrtića i otvaranja novih skupina i novih područnih objekata. Povećan je broj krajnjih korisnika vrtića. Rashodi poslovanja ostvareni su u iznosu od 1.013.917,87 €, što je za 32,80 % više u odnosu na prethodnu godinu. Najznačajnije povećanje kod rashoda za zaposlene-projekt Zaželi, te povećanje kapaciteta vrtića i otvaranja novih skupina i novih područnih objekata te shodno tome i povećan broj zaposlenih i povećanje plaća. Također povećanje je kod financijskih rashoda za 214,60 % radi plaćanja naknade i kamate na dozvoljeno prekoračenje po žiro računu, te rashoda za donacije,kazne,naknade šteta i kapitalne pomoći radi kapitalne pomoći za kupnju prve nekretnine,te kapitalne donacije župi Sv. Martina biskupa za izgradnju novog župnog dvora. Ostvaren je višak prihoda nad rashodima 223.917,51 €. Prihode od prodaje nefinancijske imovne općina nije ostvarila. Rashodi za nabavu nefinancijske imovine ostvareni su u iznosu od 251.091,01 € što je za 49,60% manje u odnosu na prethodnu godinu. Općina je u 2025 više ulagala u izgradnju pješačkih staza,sadnju višegodišnjih nasada i ostalu nematerijalnu proizvedenu imovinu(izrada raznih planskih i strateških dokumenata).  Ostvaren je manjak prihoda od nefinancijske imovine u iznosu od 251.091,01 €.  Primici od financijske imovine i zaduživanja iznose 989.358,29 a odnose se na povrat studentskih kredita,kredit HBOR-a te evidentiranje dozvoljenog prekoračenja po žiro računu od HPB-a. Izdaci od financijske imovine iznose 862.001,89 €, a odnose se na otplatu glavnice HBOR-u te otplatu glavnice po dozvoljenom prekoračenju u HPB-u. Ostvaren je višak od financijske imovine i zaduživanja u iznosu od 127.356,40. Promatrajući općinu i njezinog proračunskog korisnika ostvaren je višak prihoda i primitaka u iznosu od 100.182,90 €.   Višak u iznosu 110.249,93 € odnosi se na općinu  dok je manjak u iznosu od 10.067,03 € ostvaren kod proračunskog korisnika.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od nesamostalnog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214.782,54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379.661,80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176,8</w:t>
            </w:r>
          </w:p>
        </w:tc>
      </w:tr>
    </w:tbl>
    <w:p>
      <w:pPr>
        <w:spacing w:before="0" w:after="0"/>
      </w:pPr>
    </w:p>
    <w:p>
      <w:r>
        <w:t xml:space="preserve">Prihodi od poreza na dohodak od nesamostalnog rada bilježe povećanje za 76,80 % u odnosu na prethodno razdoblje zbog rasta plaća i broja zaposlenih na području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Stalni porezi na nepokretnu imovinu (zemlju, zgrade, kuće i ostalo)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prethodnom izvještajnom razdoblju nije bilo poreza na nekretnine.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Povremeni porezi na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7.537,87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5.682,98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75,4</w:t>
            </w:r>
          </w:p>
        </w:tc>
      </w:tr>
    </w:tbl>
    <w:p>
      <w:pPr>
        <w:spacing w:before="0" w:after="0"/>
      </w:pPr>
    </w:p>
    <w:p>
      <w:r>
        <w:t xml:space="preserve">Odnosi se na uplate poreza na promet nekretnina koje su manje  u odnosu na prethodno razdoblje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88.913,28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226.553,85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254,8</w:t>
            </w:r>
          </w:p>
        </w:tc>
      </w:tr>
    </w:tbl>
    <w:p>
      <w:pPr>
        <w:spacing w:before="0" w:after="0"/>
      </w:pPr>
    </w:p>
    <w:p>
      <w:r>
        <w:t xml:space="preserve">Veća uplata pomoći iz općinskih proračuna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od izvanproračunskih korisnika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6.900,30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Odnosi se na uplatu HZZ-a za javne radove u prethodnoj godini, u izvještajnom razdoblju tekuće godine općina nije imala javne radove.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118.114,92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133.138,32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112,7</w:t>
            </w:r>
          </w:p>
        </w:tc>
      </w:tr>
    </w:tbl>
    <w:p>
      <w:pPr>
        <w:spacing w:before="0" w:after="0"/>
      </w:pPr>
    </w:p>
    <w:p>
      <w:r>
        <w:t xml:space="preserve">Odnosi se na uplatu tekuće pomoći iz državnog proračuna temeljem prijenosa EU sredstava za projekt Zaželi.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60.747,65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uplatu kapitalne pomoći iz državnog proračuna  pomoći temeljem prijenosa EU sredstava za projekt Engage i za projekt Energetska obnova zgrade općine.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na oročena sredstva i depozite po viđenju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302,26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3093,8</w:t>
            </w:r>
          </w:p>
        </w:tc>
      </w:tr>
    </w:tbl>
    <w:p>
      <w:pPr>
        <w:spacing w:before="0" w:after="0"/>
      </w:pPr>
    </w:p>
    <w:p>
      <w:r>
        <w:t xml:space="preserve">Veća uplata  kamate za depozite po viđenju.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šume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26.109,19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1.316,25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5,0</w:t>
            </w:r>
          </w:p>
        </w:tc>
      </w:tr>
    </w:tbl>
    <w:p>
      <w:pPr>
        <w:spacing w:before="0" w:after="0"/>
      </w:pPr>
    </w:p>
    <w:p>
      <w:r>
        <w:t xml:space="preserve">Manja uplata obračuna šumskog doprinosa.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89.511,18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93.913,67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104,9</w:t>
            </w:r>
          </w:p>
        </w:tc>
      </w:tr>
    </w:tbl>
    <w:p>
      <w:pPr>
        <w:spacing w:before="0" w:after="0"/>
      </w:pPr>
    </w:p>
    <w:p>
      <w:r>
        <w:t xml:space="preserve">Dj. vrtić Bajka ima vlastite prihode-prihodi od roditelja za sufinanciranje cijene usluga i sufinanciranje cijene usluga -druge općine i ostvaren je u iznosu od 93.913,67 € tj. 4,90 % više nego u istom periodu prethodne godine. Razlog tomu je što u novoj pedagoškoj godini od rujna 2024 g. Dj. vrtić Bajka ima otvorene 2 nove skupine, povećan broj krajnjih korisnika, broj sufinanciranja od strane drugih jedinica lokalne samouprave za korisnike s njihovog područja.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11.920,24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1.254,32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10,5</w:t>
            </w:r>
          </w:p>
        </w:tc>
      </w:tr>
    </w:tbl>
    <w:p>
      <w:pPr>
        <w:spacing w:before="0" w:after="0"/>
      </w:pPr>
    </w:p>
    <w:p>
      <w:r>
        <w:t xml:space="preserve">Manja uplata komunalne naknade u odnosu na prethodnu godinu.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1.136,70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69,4</w:t>
            </w:r>
          </w:p>
        </w:tc>
      </w:tr>
    </w:tbl>
    <w:p>
      <w:pPr>
        <w:spacing w:before="0" w:after="0"/>
      </w:pPr>
    </w:p>
    <w:p>
      <w:r>
        <w:t xml:space="preserve">Odnosi se na uplatu  Hrvatskih voda za naplaćeni NUV-10%.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315.046,80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459.308,37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145,8</w:t>
            </w:r>
          </w:p>
        </w:tc>
      </w:tr>
    </w:tbl>
    <w:p>
      <w:pPr>
        <w:spacing w:before="0" w:after="0"/>
      </w:pPr>
    </w:p>
    <w:p>
      <w:r>
        <w:t xml:space="preserve">Zbog povećanja broja zaposlenih u Dj. vrtiću Bajka  i povećanju broja zaposlenih u općini Strizivojna - projekt zaželi  te povećanju plaća djelatnika došlo je do znatnijeg odstupanja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6.834,86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14.975,32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219,1</w:t>
            </w:r>
          </w:p>
        </w:tc>
      </w:tr>
    </w:tbl>
    <w:p>
      <w:pPr>
        <w:spacing w:before="0" w:after="0"/>
      </w:pPr>
    </w:p>
    <w:p>
      <w:r>
        <w:t xml:space="preserve">Povećanje broja zaposlenih u Dj. vrtiću Bajka i Općini Strizivojna.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30.091,11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12.518,98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41,6</w:t>
            </w:r>
          </w:p>
        </w:tc>
      </w:tr>
    </w:tbl>
    <w:p>
      <w:pPr>
        <w:spacing w:before="0" w:after="0"/>
      </w:pPr>
    </w:p>
    <w:p>
      <w:r>
        <w:t xml:space="preserve">Veće odstupanje zbog manjeg ulaganja u održavanje građevinskih objekata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1.620,40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7.065,10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436,0</w:t>
            </w:r>
          </w:p>
        </w:tc>
      </w:tr>
    </w:tbl>
    <w:p>
      <w:pPr>
        <w:spacing w:before="0" w:after="0"/>
      </w:pPr>
    </w:p>
    <w:p>
      <w:r>
        <w:t xml:space="preserve">Veće usluge promidžbe i informiranja -dan općine, objava tv priloga,objava u lokalnim medijima-energetska obnova zgrade općine-završna konferencija.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70.672,15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86.731,60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122,7</w:t>
            </w:r>
          </w:p>
        </w:tc>
      </w:tr>
    </w:tbl>
    <w:p>
      <w:pPr>
        <w:spacing w:before="0" w:after="0"/>
      </w:pPr>
    </w:p>
    <w:p>
      <w:r>
        <w:t xml:space="preserve">Blaže odstupanje-veća ulaganja u održavanje javnih površina.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3.168,68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4.704,01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148,5</w:t>
            </w:r>
          </w:p>
        </w:tc>
      </w:tr>
    </w:tbl>
    <w:p>
      <w:pPr>
        <w:spacing w:before="0" w:after="0"/>
      </w:pPr>
    </w:p>
    <w:p>
      <w:r>
        <w:t xml:space="preserve">Blaže odstupanje odnosi se na zbrinjavanje napuštenih životinja.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od kreditnih i ostalih financijskih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1.903,26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180,5</w:t>
            </w:r>
          </w:p>
        </w:tc>
      </w:tr>
    </w:tbl>
    <w:p>
      <w:pPr>
        <w:spacing w:before="0" w:after="0"/>
      </w:pPr>
    </w:p>
    <w:p>
      <w:r>
        <w:t xml:space="preserve">Odnosi se na uplatu kamate HBOR-u za kredit.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od kreditnih i ostalih financijskih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4.014,76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485,6</w:t>
            </w:r>
          </w:p>
        </w:tc>
      </w:tr>
    </w:tbl>
    <w:p>
      <w:pPr>
        <w:spacing w:before="0" w:after="0"/>
      </w:pPr>
    </w:p>
    <w:p>
      <w:r>
        <w:t xml:space="preserve">Odnosi se na uplate kamate za dozvoljeno prekoračenje po žiro računu kod HPB.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1.847,06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125,7</w:t>
            </w:r>
          </w:p>
        </w:tc>
      </w:tr>
    </w:tbl>
    <w:p>
      <w:pPr>
        <w:spacing w:before="0" w:after="0"/>
      </w:pPr>
    </w:p>
    <w:p>
      <w:r>
        <w:t xml:space="preserve">Povećane bankarske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financijski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1.254,93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prethodnom razdoblju općina je imala naknade za obradu kredita i dozvoljenog prekoračenja po žiro računu.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5.476,25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Nije bilo prijenosa sredstva OŠ I. Brlić Mažuranić u periodu 01.01.26.-30.06.26.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8.172,74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13.620,00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166,7</w:t>
            </w:r>
          </w:p>
        </w:tc>
      </w:tr>
    </w:tbl>
    <w:p>
      <w:pPr>
        <w:spacing w:before="0" w:after="0"/>
      </w:pPr>
    </w:p>
    <w:p>
      <w:r>
        <w:t xml:space="preserve">Veća uplata porodiljnih naknada.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627,87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5.399,48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860,0</w:t>
            </w:r>
          </w:p>
        </w:tc>
      </w:tr>
    </w:tbl>
    <w:p>
      <w:pPr>
        <w:spacing w:before="0" w:after="0"/>
      </w:pPr>
    </w:p>
    <w:p>
      <w:r>
        <w:t xml:space="preserve">Uvedeno sufinanciranje cijene prijevoza učenika čega u prethodnom izvještajnom razdoblju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 neprofitnim organizacijama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Prijenos sredstava župi Sv. Martina biskupa za izgradnju novog župnog doma.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 građanima i kućanstvima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260,0</w:t>
            </w:r>
          </w:p>
        </w:tc>
      </w:tr>
    </w:tbl>
    <w:p>
      <w:pPr>
        <w:spacing w:before="0" w:after="0"/>
      </w:pPr>
    </w:p>
    <w:p>
      <w:r>
        <w:t xml:space="preserve">Odnosi se na kapitalne donacije kućanstvu za kupnju prve nekretnine.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498.009,10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251.091,01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50,4</w:t>
            </w:r>
          </w:p>
        </w:tc>
      </w:tr>
    </w:tbl>
    <w:p>
      <w:pPr>
        <w:spacing w:before="0" w:after="0"/>
      </w:pPr>
    </w:p>
    <w:p>
      <w:r>
        <w:t xml:space="preserve">Proračunski korisnik nije imao rashode za nabavu nefinancijske imovine, navedeno se odnosi samo na općinu.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361.519,48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46.711,50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12,9</w:t>
            </w:r>
          </w:p>
        </w:tc>
      </w:tr>
    </w:tbl>
    <w:p>
      <w:pPr>
        <w:spacing w:before="0" w:after="0"/>
      </w:pPr>
    </w:p>
    <w:p>
      <w:r>
        <w:t xml:space="preserve">Manje ulaganje u građevinske objekte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Komunikacijska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1.296,62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kupnju mobitela.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41.575,35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dizalicu topline za energetsku obnovu zgrade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8.008,81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77.789,60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971,3</w:t>
            </w:r>
          </w:p>
        </w:tc>
      </w:tr>
    </w:tbl>
    <w:p>
      <w:pPr>
        <w:spacing w:before="0" w:after="0"/>
      </w:pPr>
    </w:p>
    <w:p>
      <w:r>
        <w:t xml:space="preserve">Odnosi si se na opremu za dječije igralište u naselju Strizivojna i opremu za projekt "Rastemo zajedno kroz pokret,prirodu i stvaralaštvo".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6.289,38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53.918,53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857,3</w:t>
            </w:r>
          </w:p>
        </w:tc>
      </w:tr>
    </w:tbl>
    <w:p>
      <w:pPr>
        <w:spacing w:before="0" w:after="0"/>
      </w:pPr>
    </w:p>
    <w:p>
      <w:r>
        <w:t xml:space="preserve">Odnosi se na energetsku obnovu zgrade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160.300,96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989.147,27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617,1</w:t>
            </w:r>
          </w:p>
        </w:tc>
      </w:tr>
    </w:tbl>
    <w:p>
      <w:pPr>
        <w:spacing w:before="0" w:after="0"/>
      </w:pPr>
    </w:p>
    <w:p>
      <w:r>
        <w:t xml:space="preserve">Odnosi se na dozvoljeno prekoračenje po transakcijskom računu kod HPB.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9.508,23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19.016,46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</w:t>
            </w:r>
          </w:p>
        </w:tc>
      </w:tr>
    </w:tbl>
    <w:p>
      <w:pPr>
        <w:spacing w:before="0" w:after="0"/>
      </w:pPr>
    </w:p>
    <w:p>
      <w:r>
        <w:t xml:space="preserve">Otplata glavnice HBOR-u (4. i 5. rata).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47.999,99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842.985,43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1756,2</w:t>
            </w:r>
          </w:p>
        </w:tc>
      </w:tr>
    </w:tbl>
    <w:p>
      <w:pPr>
        <w:spacing w:before="0" w:after="0"/>
      </w:pPr>
    </w:p>
    <w:p>
      <w:r>
        <w:t xml:space="preserve">Otplata glavnice po dozvoljenom prekoračenju -HPB d.d.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810.438,26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odnosu na početak godine obveze su povećane za 21.917,79 €.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4.944,74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 na kraju izvještajnog razdoblja iznosi 4.944,74. Najvećim dijelom se odnose na neutvrđene odnose iz prijašnjih godina. Općina će u 2026. g. učiniti otpis obveza kada utvrdi stvarno stanje, te kod proračunskog korisnika obveze prema roditeljima koji su uplatili veći iznos za participaciju.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d) Prekoračenje preko 360 dana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D232D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neutvrđene odnose iz prijašnjih godina .Općina će u 2026 učiniti otpis obveza kada utvrdi stvarno stanje.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d) Prekoračenje preko 360 dana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D24D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4.074,59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neutvrđene odnose iz prijašnjih godina .Općina će u 2026 učiniti otpis obveza kada utvrdi stvarno stanje.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obveze prema roditeljima koji su uplatili veći iznos za participaciju-proračunski korisnik.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107.800,04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Najvećim se dijelom odnose na  obveze za zaposlene -plaće 06/2026-kod općine i kod proračunskog korisnika ali i za ostale materijalne rashode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538.786,85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Odnose na obveze za otplatu glavnice kredita HBOR-u i HPB d.d.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157.718,19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Odnose se na obveze za naplaćene tuđe prihode Hrvatskim vodama-NUV, obveze za EU predujmove dane iz državnog proračuna -projekt Zaželi, projekt Engage, projekt energ. obnove zgrade općine, ,obveze za predujam-kom. naknada, obveze za jamčevne pologe i obveze proračuna za naplaćena sredstva proračunskog korisnika.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Općina je za svoga proračunskog korisnika izdvojila 390.976,71 €. 390.976,71 € se odnosi na financiranje rashoda poslovanja.  Općina je uskladila sa proračunskim korisnikom prijenose. Prijenos je veći jer je došlo do otvaranja područnog objekta s dvije nove skupine u 2024 godini i tri nove skupine 01.09.2025. godine te je shodno tome došlo do povećanja plaća i materijalnih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Ostvaren je višak prihoda i primitaka grupe u iznosu od 100.182,90 €.  110.249,93 višak prihoda i primitaka odnosi se na općinu, dok je manjak prihoda i primitaka u iznosu od 10.067,03 ostvaren kod proračunskog korisnika. Manjak prihoda i primitaka preneseni grupe  iznosi 368.481,28  310.749,33-manjak prihoda i primitaka preneseni je kod  općine, te 57.731,95 manjak prihoda i primitaka -Dječji vrtić Bajka. Ostvaren je manjak prihoda i primitaka raspoloživ u sljedećem razdoblju grupe u iznosu od 268.298,38 €.  200.499,40 odnosi se na općinu a 67.798,98 na njezinog proračunskog korisnika Dječji vrtić Bajka Strizivojna.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1aaeced05241ac" /></Relationships>
</file>